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1E" w:rsidRPr="00106B1E" w:rsidRDefault="00106B1E" w:rsidP="00106B1E">
      <w:pPr>
        <w:spacing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pict>
          <v:rect id="_x0000_i1025" style="width:0;height:1.5pt" o:hralign="center" o:hrstd="t" o:hr="t" fillcolor="#a0a0a0" stroked="f"/>
        </w:pic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u w:val="single"/>
          <w:lang w:eastAsia="es-BO"/>
        </w:rPr>
        <w:t>LEY N° 620</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u w:val="single"/>
          <w:lang w:eastAsia="es-BO"/>
        </w:rPr>
        <w:t>LEY DE 29 DE DICIEMBRE DE 2014</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u w:val="single"/>
          <w:lang w:eastAsia="es-BO"/>
        </w:rPr>
        <w:t> </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u w:val="single"/>
          <w:lang w:eastAsia="es-BO"/>
        </w:rPr>
        <w:t>EVO MORALES AYMA</w:t>
      </w:r>
    </w:p>
    <w:p w:rsidR="00106B1E" w:rsidRPr="00106B1E" w:rsidRDefault="00106B1E" w:rsidP="00106B1E">
      <w:pPr>
        <w:spacing w:before="100" w:beforeAutospacing="1" w:after="100" w:afterAutospacing="1"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u w:val="single"/>
          <w:lang w:eastAsia="es-BO"/>
        </w:rPr>
        <w:t>PRESIDENTE CONSTITUCIONAL DEL ESTADO PLURINACIONAL DE BOLIVIA</w:t>
      </w:r>
    </w:p>
    <w:p w:rsidR="00106B1E" w:rsidRPr="00106B1E" w:rsidRDefault="00106B1E" w:rsidP="00106B1E">
      <w:pPr>
        <w:spacing w:before="100" w:beforeAutospacing="1" w:after="100" w:afterAutospacing="1"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Por cuanto, la Asamblea Legislativa Plurinacional, ha sancionado la siguiente Ley:</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LA ASAMBLEA LEGISLATIVA PLURINACIONAL,</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D E C R E T A :</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LEY TRANSITORIA PARA LA TRAMITACIÓN DE LOS PROCESOS</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CONTENCIOSO Y CONTENCIOSO ADMINISTRATIVO</w:t>
      </w:r>
    </w:p>
    <w:p w:rsidR="00106B1E" w:rsidRPr="00106B1E" w:rsidRDefault="00106B1E" w:rsidP="00106B1E">
      <w:pPr>
        <w:spacing w:before="100" w:beforeAutospacing="1"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w:t>
      </w:r>
      <w:r w:rsidRPr="00106B1E">
        <w:rPr>
          <w:rFonts w:ascii="Times New Roman" w:eastAsia="Times New Roman" w:hAnsi="Times New Roman" w:cs="Times New Roman"/>
          <w:sz w:val="24"/>
          <w:szCs w:val="24"/>
          <w:lang w:eastAsia="es-BO"/>
        </w:rPr>
        <w:t> </w:t>
      </w:r>
      <w:r w:rsidRPr="00106B1E">
        <w:rPr>
          <w:rFonts w:ascii="Times New Roman" w:eastAsia="Times New Roman" w:hAnsi="Times New Roman" w:cs="Times New Roman"/>
          <w:b/>
          <w:bCs/>
          <w:sz w:val="24"/>
          <w:szCs w:val="24"/>
          <w:lang w:eastAsia="es-BO"/>
        </w:rPr>
        <w:t>1.</w:t>
      </w:r>
      <w:r w:rsidRPr="00106B1E">
        <w:rPr>
          <w:rFonts w:ascii="Times New Roman" w:eastAsia="Times New Roman" w:hAnsi="Times New Roman" w:cs="Times New Roman"/>
          <w:sz w:val="24"/>
          <w:szCs w:val="24"/>
          <w:lang w:eastAsia="es-BO"/>
        </w:rPr>
        <w:t> </w:t>
      </w:r>
      <w:r w:rsidRPr="00106B1E">
        <w:rPr>
          <w:rFonts w:ascii="Times New Roman" w:eastAsia="Times New Roman" w:hAnsi="Times New Roman" w:cs="Times New Roman"/>
          <w:b/>
          <w:bCs/>
          <w:sz w:val="24"/>
          <w:szCs w:val="24"/>
          <w:lang w:eastAsia="es-BO"/>
        </w:rPr>
        <w:t>(OBJETO).</w:t>
      </w:r>
      <w:r w:rsidRPr="00106B1E">
        <w:rPr>
          <w:rFonts w:ascii="Times New Roman" w:eastAsia="Times New Roman" w:hAnsi="Times New Roman" w:cs="Times New Roman"/>
          <w:sz w:val="24"/>
          <w:szCs w:val="24"/>
          <w:lang w:eastAsia="es-BO"/>
        </w:rPr>
        <w:t> La presente Ley tiene por objeto crear en la estructura del Tribunal Supremo de Justicia y en los Tribunales Departamentales de Justicia, Salas en Materia Contenciosa y Contenciosa Administrativa, estableciendo sus atribuciones.</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 2. (SALA ESPECIALIZADA EN MATERIA CONTENCIOSA Y CONTENCIOSA ADMINISTRATIVA DEL TRIBUNAL SUPREMO DE JUSTICIA).</w:t>
      </w:r>
      <w:r w:rsidRPr="00106B1E">
        <w:rPr>
          <w:rFonts w:ascii="Times New Roman" w:eastAsia="Times New Roman" w:hAnsi="Times New Roman" w:cs="Times New Roman"/>
          <w:sz w:val="24"/>
          <w:szCs w:val="24"/>
          <w:lang w:eastAsia="es-BO"/>
        </w:rPr>
        <w:t> Se crea la Sala Contenciosa y Contenciosa Administrativa, como parte de la estructura del Tribunal Supremo de Justicia, con las siguientes atribuciones:</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lastRenderedPageBreak/>
        <w:t>1. Conocer y resolver las causas contenciosas que resultaren de los contratos, negociaciones y concesiones del Gobierno Central, y demás instituciones públicas o privadas que cumplan roles de administración pública a nivel nacional.</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2. Conocer y resolver las demandas Contenciosas Administrativas del nivel nacional, que resultaren de la oposición entre el interés público y privado.</w:t>
      </w:r>
    </w:p>
    <w:p w:rsidR="00106B1E" w:rsidRPr="00106B1E" w:rsidRDefault="00106B1E" w:rsidP="00106B1E">
      <w:pPr>
        <w:spacing w:before="100" w:beforeAutospacing="1" w:after="100" w:afterAutospacing="1" w:line="240" w:lineRule="auto"/>
        <w:ind w:left="980" w:hanging="28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 3. (SALA ESPECIALIZADA EN MATERIA CONTENCIOSA Y CONTENCIOSA ADMINISTRATIVA DE LOS TRIBUNALES DEPARTAMENTALES DE JUSTICIA).</w:t>
      </w:r>
      <w:r w:rsidRPr="00106B1E">
        <w:rPr>
          <w:rFonts w:ascii="Times New Roman" w:eastAsia="Times New Roman" w:hAnsi="Times New Roman" w:cs="Times New Roman"/>
          <w:sz w:val="24"/>
          <w:szCs w:val="24"/>
          <w:lang w:eastAsia="es-BO"/>
        </w:rPr>
        <w:t> Se crea la Sala Contenciosa y Contenciosa Administrativa, como parte de la estructura de los Tribunales Departamentales de Justicia, con las siguientes atribuciones:</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numPr>
          <w:ilvl w:val="0"/>
          <w:numId w:val="1"/>
        </w:numPr>
        <w:spacing w:before="100" w:beforeAutospacing="1" w:after="100" w:afterAutospacing="1" w:line="240" w:lineRule="auto"/>
        <w:rPr>
          <w:rFonts w:ascii="Lucida Sans Typewriter" w:eastAsia="Times New Roman" w:hAnsi="Lucida Sans Typewriter" w:cs="Times New Roman"/>
          <w:sz w:val="24"/>
          <w:szCs w:val="24"/>
          <w:lang w:eastAsia="es-BO"/>
        </w:rPr>
      </w:pPr>
      <w:r w:rsidRPr="00106B1E">
        <w:rPr>
          <w:rFonts w:ascii="Lucida Sans Typewriter" w:eastAsia="Times New Roman" w:hAnsi="Lucida Sans Typewriter" w:cs="Times New Roman"/>
          <w:sz w:val="24"/>
          <w:szCs w:val="24"/>
          <w:lang w:eastAsia="es-BO"/>
        </w:rPr>
        <w:t>Conocer y resolver las causas contenciosas que resultaren de los contratos, negociaciones o concesiones de los gobiernos autónomos departamentales, municipales, indígena originario campesinos y regionales; universidades públicas, y demás instituciones públicas o privadas que cumplan roles de administración estatal a nivel departamental.</w:t>
      </w:r>
    </w:p>
    <w:p w:rsidR="00106B1E" w:rsidRPr="00106B1E" w:rsidRDefault="00106B1E" w:rsidP="00106B1E">
      <w:pPr>
        <w:numPr>
          <w:ilvl w:val="0"/>
          <w:numId w:val="1"/>
        </w:numPr>
        <w:spacing w:before="100" w:beforeAutospacing="1" w:after="100" w:afterAutospacing="1" w:line="240" w:lineRule="auto"/>
        <w:rPr>
          <w:rFonts w:ascii="Lucida Sans Typewriter" w:eastAsia="Times New Roman" w:hAnsi="Lucida Sans Typewriter" w:cs="Times New Roman"/>
          <w:sz w:val="24"/>
          <w:szCs w:val="24"/>
          <w:lang w:eastAsia="es-BO"/>
        </w:rPr>
      </w:pPr>
      <w:r w:rsidRPr="00106B1E">
        <w:rPr>
          <w:rFonts w:ascii="Lucida Sans Typewriter" w:eastAsia="Times New Roman" w:hAnsi="Lucida Sans Typewriter" w:cs="Times New Roman"/>
          <w:sz w:val="24"/>
          <w:szCs w:val="24"/>
          <w:lang w:eastAsia="es-BO"/>
        </w:rPr>
        <w:t>Conocer y resolver las demandas contenciosas administrativas a nivel departamental, que resultaren de la oposición del interés público y privado.</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 4. (PROCEDIMIENTO). </w:t>
      </w:r>
      <w:r w:rsidRPr="00106B1E">
        <w:rPr>
          <w:rFonts w:ascii="Times New Roman" w:eastAsia="Times New Roman" w:hAnsi="Times New Roman" w:cs="Times New Roman"/>
          <w:sz w:val="24"/>
          <w:szCs w:val="24"/>
          <w:lang w:eastAsia="es-BO"/>
        </w:rPr>
        <w:t>Para la tramitación de los procesos contenciosos y contenciosos administrativos, se aplicarán los Artículos 775 al 781 del Código de Procedimiento Civil, hasta que sean regulados por Ley, como jurisdicción especializada, conforme establece la Disposición Final Tercera de la Ley Nº 439 de 19 de noviembre de 2013, “Código Procesal Civil”.</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 5. (RECURSO DE CASACIÓN).</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left="840" w:hanging="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lastRenderedPageBreak/>
        <w:t>I.</w:t>
      </w:r>
      <w:r w:rsidRPr="00106B1E">
        <w:rPr>
          <w:rFonts w:ascii="Times New Roman" w:eastAsia="Times New Roman" w:hAnsi="Times New Roman" w:cs="Times New Roman"/>
          <w:sz w:val="24"/>
          <w:szCs w:val="24"/>
          <w:lang w:eastAsia="es-BO"/>
        </w:rPr>
        <w:t> Contra la resolución que resuelva el proceso contencioso, procederá el Recurso de Casación, conforme a lo siguiente:</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1. En los procesos contenciosos tramitados en las Salas Contenciosas y Contenciosas Administrativas de los Tribunales Departamentales de Justicia, los Recursos de Casación serán resueltos por la Sala Contenciosa y Contenciosa Administrativa del Tribunal Supremo de Justicia.</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100" w:afterAutospacing="1" w:line="240" w:lineRule="auto"/>
        <w:ind w:left="1400" w:hanging="56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2. En los procesos contenciosos tramitados en la Sala Contenciosa y Contenciosa Administrativa del Tribunal Supremo de Justicia, los Recursos de Casación serán resueltos por la Sala Plena de ese Tribunal.</w:t>
      </w:r>
    </w:p>
    <w:p w:rsidR="00106B1E" w:rsidRPr="00106B1E" w:rsidRDefault="00106B1E" w:rsidP="00106B1E">
      <w:pPr>
        <w:spacing w:before="100" w:beforeAutospacing="1" w:after="100" w:afterAutospacing="1" w:line="240" w:lineRule="auto"/>
        <w:ind w:left="960" w:hanging="48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100" w:afterAutospacing="1" w:line="240" w:lineRule="auto"/>
        <w:ind w:left="840" w:hanging="84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b/>
          <w:bCs/>
          <w:sz w:val="24"/>
          <w:szCs w:val="24"/>
          <w:lang w:eastAsia="es-BO"/>
        </w:rPr>
        <w:t>II.</w:t>
      </w:r>
      <w:r w:rsidRPr="00106B1E">
        <w:rPr>
          <w:rFonts w:ascii="Lucida Sans Typewriter" w:eastAsia="Times New Roman" w:hAnsi="Lucida Sans Typewriter" w:cs="Times New Roman"/>
          <w:sz w:val="24"/>
          <w:szCs w:val="24"/>
          <w:lang w:eastAsia="es-BO"/>
        </w:rPr>
        <w:t> Contra la resolución que resuelva el proceso contencioso administrativo, no procede recurso ulterior.</w:t>
      </w:r>
    </w:p>
    <w:p w:rsidR="00106B1E" w:rsidRPr="00106B1E" w:rsidRDefault="00106B1E" w:rsidP="00106B1E">
      <w:pPr>
        <w:spacing w:before="100" w:beforeAutospacing="1" w:after="100" w:afterAutospacing="1" w:line="240" w:lineRule="auto"/>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Artículo 6. (PROCESOS EN TRÁMITE). </w:t>
      </w:r>
      <w:r w:rsidRPr="00106B1E">
        <w:rPr>
          <w:rFonts w:ascii="Times New Roman" w:eastAsia="Times New Roman" w:hAnsi="Times New Roman" w:cs="Times New Roman"/>
          <w:sz w:val="24"/>
          <w:szCs w:val="24"/>
          <w:lang w:eastAsia="es-BO"/>
        </w:rPr>
        <w:t>Los procesos en curso, archivados y los presentados con anterioridad a la vigencia de la presente Ley, continuarán siendo de competencia de la Sala Plena del Tribunal Supremo de Justicia y de las Salas Plenas de los Tribunales Departamentales de Justicia, hasta su conclusión, conforme a normativa legal aplicable hasta antes de la promulgación de la presente Ley.</w:t>
      </w:r>
    </w:p>
    <w:p w:rsidR="00106B1E" w:rsidRPr="00106B1E" w:rsidRDefault="00106B1E" w:rsidP="00106B1E">
      <w:pPr>
        <w:spacing w:before="100" w:beforeAutospacing="1" w:after="0" w:line="240" w:lineRule="auto"/>
        <w:ind w:firstLine="840"/>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100" w:afterAutospacing="1" w:line="240" w:lineRule="auto"/>
        <w:ind w:firstLine="840"/>
        <w:rPr>
          <w:rFonts w:ascii="Times New Roman" w:eastAsia="Times New Roman" w:hAnsi="Times New Roman" w:cs="Times New Roman"/>
          <w:sz w:val="24"/>
          <w:szCs w:val="24"/>
          <w:lang w:eastAsia="es-BO"/>
        </w:rPr>
      </w:pPr>
      <w:r w:rsidRPr="00106B1E">
        <w:rPr>
          <w:rFonts w:ascii="Lucida Sans Typewriter" w:eastAsia="Times New Roman" w:hAnsi="Lucida Sans Typewriter" w:cs="Times New Roman"/>
          <w:b/>
          <w:bCs/>
          <w:sz w:val="24"/>
          <w:szCs w:val="24"/>
          <w:lang w:eastAsia="es-BO"/>
        </w:rPr>
        <w:t>Artículo 7. (RESTRUCTURACIÓN).</w:t>
      </w:r>
      <w:r w:rsidRPr="00106B1E">
        <w:rPr>
          <w:rFonts w:ascii="Lucida Sans Typewriter" w:eastAsia="Times New Roman" w:hAnsi="Lucida Sans Typewriter" w:cs="Times New Roman"/>
          <w:sz w:val="24"/>
          <w:szCs w:val="24"/>
          <w:lang w:eastAsia="es-BO"/>
        </w:rPr>
        <w:t> Al no implicar gastos del Tesoro General de la Nación – TGN la implementación de la presente Ley, en el plazo de cuarenta y cinco (45) días a partir de su promulgación, el Tribunal Supremo de Justicia y los Tribunales Departamentales de Justicia, deberán realizar la restructuración de sus salas.</w:t>
      </w:r>
    </w:p>
    <w:p w:rsidR="00106B1E" w:rsidRPr="00106B1E" w:rsidRDefault="00106B1E" w:rsidP="00106B1E">
      <w:pPr>
        <w:spacing w:before="100" w:beforeAutospacing="1" w:after="0" w:line="240" w:lineRule="auto"/>
        <w:ind w:right="40"/>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right="40"/>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DISPOSICIÓN DEROGATORIA</w:t>
      </w:r>
    </w:p>
    <w:p w:rsidR="00106B1E" w:rsidRPr="00106B1E" w:rsidRDefault="00106B1E" w:rsidP="00106B1E">
      <w:pPr>
        <w:spacing w:before="100" w:beforeAutospacing="1"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lastRenderedPageBreak/>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ÚNICA.</w:t>
      </w:r>
      <w:r w:rsidRPr="00106B1E">
        <w:rPr>
          <w:rFonts w:ascii="Times New Roman" w:eastAsia="Times New Roman" w:hAnsi="Times New Roman" w:cs="Times New Roman"/>
          <w:sz w:val="24"/>
          <w:szCs w:val="24"/>
          <w:lang w:eastAsia="es-BO"/>
        </w:rPr>
        <w:t> Se deroga el Parágrafo I del Artículo 10 de la Ley Nº 212 de 23 de diciembre de 2011, de Transición para el Tribunal Supremo de Justicia, Tribunal Agroambiental, Consejo de la Magistratura y Tribunal Constitucional Plurinacional.</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ind w:right="180"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Remítase al Órgano Ejecutivo para fines constitucionales.</w:t>
      </w:r>
    </w:p>
    <w:p w:rsidR="00106B1E" w:rsidRPr="00106B1E" w:rsidRDefault="00106B1E" w:rsidP="00106B1E">
      <w:pPr>
        <w:spacing w:before="100" w:beforeAutospacing="1" w:after="0" w:line="240" w:lineRule="auto"/>
        <w:ind w:right="40"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Es dada en la Sala de Sesiones de la Asamblea Legislativa Plurinacional, a los diecinueve días del mes de diciembre del año dos mil catorce.</w:t>
      </w:r>
    </w:p>
    <w:p w:rsidR="00106B1E" w:rsidRPr="00106B1E" w:rsidRDefault="00106B1E" w:rsidP="00106B1E">
      <w:pPr>
        <w:spacing w:before="100" w:beforeAutospacing="1" w:after="0" w:line="240" w:lineRule="auto"/>
        <w:ind w:right="40"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Fdo. Eugenio Rojas Apaza, </w:t>
      </w:r>
      <w:r w:rsidRPr="00106B1E">
        <w:rPr>
          <w:rFonts w:ascii="Times New Roman" w:eastAsia="Times New Roman" w:hAnsi="Times New Roman" w:cs="Times New Roman"/>
          <w:sz w:val="24"/>
          <w:szCs w:val="24"/>
          <w:shd w:val="clear" w:color="auto" w:fill="FFFFFF"/>
          <w:lang w:eastAsia="es-BO"/>
        </w:rPr>
        <w:t>Marcelo William Elío Chávez,</w:t>
      </w:r>
      <w:r w:rsidRPr="00106B1E">
        <w:rPr>
          <w:rFonts w:ascii="Times New Roman" w:eastAsia="Times New Roman" w:hAnsi="Times New Roman" w:cs="Times New Roman"/>
          <w:sz w:val="24"/>
          <w:szCs w:val="24"/>
          <w:lang w:eastAsia="es-BO"/>
        </w:rPr>
        <w:t> Efraín Condori Lopez, </w:t>
      </w:r>
      <w:r w:rsidRPr="00106B1E">
        <w:rPr>
          <w:rFonts w:ascii="Times New Roman" w:eastAsia="Times New Roman" w:hAnsi="Times New Roman" w:cs="Times New Roman"/>
          <w:sz w:val="24"/>
          <w:szCs w:val="24"/>
          <w:shd w:val="clear" w:color="auto" w:fill="FFFFFF"/>
          <w:lang w:eastAsia="es-BO"/>
        </w:rPr>
        <w:t>Marcelo E. Antezana Ruiz,</w:t>
      </w:r>
      <w:r w:rsidRPr="00106B1E">
        <w:rPr>
          <w:rFonts w:ascii="Times New Roman" w:eastAsia="Times New Roman" w:hAnsi="Times New Roman" w:cs="Times New Roman"/>
          <w:sz w:val="24"/>
          <w:szCs w:val="24"/>
          <w:lang w:eastAsia="es-BO"/>
        </w:rPr>
        <w:t> Carlos Aparicio Vedia, Ángel David Cortés Villegas.</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Por tanto, la promulgo para que se tenga y cumpla como Ley del Estado Plurinacional de Bolivia.</w:t>
      </w:r>
    </w:p>
    <w:p w:rsidR="00106B1E" w:rsidRPr="00106B1E" w:rsidRDefault="00106B1E" w:rsidP="00106B1E">
      <w:pPr>
        <w:spacing w:before="100" w:beforeAutospacing="1" w:after="0" w:line="240" w:lineRule="auto"/>
        <w:ind w:left="280"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 </w:t>
      </w:r>
    </w:p>
    <w:p w:rsidR="00106B1E" w:rsidRPr="00106B1E" w:rsidRDefault="00106B1E" w:rsidP="00106B1E">
      <w:pPr>
        <w:spacing w:before="100" w:beforeAutospacing="1" w:after="0" w:line="240" w:lineRule="auto"/>
        <w:ind w:left="280" w:firstLine="560"/>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t>Palacio de Gobierno de la ciudad de La Paz, a los veintinueve días del mes de diciembre del año dos mil catorce.</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 </w:t>
      </w:r>
    </w:p>
    <w:p w:rsidR="00106B1E" w:rsidRPr="00106B1E" w:rsidRDefault="00106B1E" w:rsidP="00106B1E">
      <w:pPr>
        <w:spacing w:before="100" w:beforeAutospacing="1" w:after="0" w:line="240" w:lineRule="auto"/>
        <w:ind w:firstLine="840"/>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FDO. EVO MORALES AYMA, </w:t>
      </w:r>
      <w:r w:rsidRPr="00106B1E">
        <w:rPr>
          <w:rFonts w:ascii="Times New Roman" w:eastAsia="Times New Roman" w:hAnsi="Times New Roman" w:cs="Times New Roman"/>
          <w:sz w:val="24"/>
          <w:szCs w:val="24"/>
          <w:lang w:eastAsia="es-BO"/>
        </w:rPr>
        <w:t>Juan Ramón Quintana Taborga, Elizabeth Sandra Gutiérrez Salazar, Claudia Stacy Peña Claros, Amanda Dávila Torres.</w:t>
      </w:r>
    </w:p>
    <w:p w:rsidR="00106B1E" w:rsidRPr="00106B1E" w:rsidRDefault="00106B1E" w:rsidP="00106B1E">
      <w:pPr>
        <w:spacing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pict>
          <v:rect id="_x0000_i1026" style="width:0;height:1.5pt" o:hralign="center" o:hrstd="t" o:hr="t" fillcolor="#a0a0a0" stroked="f"/>
        </w:pict>
      </w:r>
    </w:p>
    <w:p w:rsidR="00106B1E" w:rsidRPr="00106B1E" w:rsidRDefault="00106B1E" w:rsidP="00106B1E">
      <w:pPr>
        <w:spacing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SUSCRIPCION OBLIGATORIA</w:t>
      </w:r>
    </w:p>
    <w:p w:rsidR="00106B1E" w:rsidRPr="00106B1E" w:rsidRDefault="00106B1E" w:rsidP="00106B1E">
      <w:pPr>
        <w:spacing w:after="0" w:line="240" w:lineRule="auto"/>
        <w:jc w:val="center"/>
        <w:rPr>
          <w:rFonts w:ascii="Times New Roman" w:eastAsia="Times New Roman" w:hAnsi="Times New Roman" w:cs="Times New Roman"/>
          <w:sz w:val="24"/>
          <w:szCs w:val="24"/>
          <w:lang w:eastAsia="es-BO"/>
        </w:rPr>
      </w:pPr>
      <w:r w:rsidRPr="00106B1E">
        <w:rPr>
          <w:rFonts w:ascii="Times New Roman" w:eastAsia="Times New Roman" w:hAnsi="Times New Roman" w:cs="Times New Roman"/>
          <w:b/>
          <w:bCs/>
          <w:sz w:val="24"/>
          <w:szCs w:val="24"/>
          <w:lang w:eastAsia="es-BO"/>
        </w:rPr>
        <w:t>DECRETO SUPREMO Nº 690</w:t>
      </w:r>
    </w:p>
    <w:p w:rsidR="00106B1E" w:rsidRPr="00106B1E" w:rsidRDefault="00106B1E" w:rsidP="00106B1E">
      <w:pPr>
        <w:spacing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br/>
      </w:r>
      <w:r w:rsidRPr="00106B1E">
        <w:rPr>
          <w:rFonts w:ascii="Times New Roman" w:eastAsia="Times New Roman" w:hAnsi="Times New Roman" w:cs="Times New Roman"/>
          <w:b/>
          <w:bCs/>
          <w:sz w:val="24"/>
          <w:szCs w:val="24"/>
          <w:lang w:eastAsia="es-BO"/>
        </w:rPr>
        <w:t>03 DE NOVIEMBRE DE 2010 .- </w:t>
      </w:r>
      <w:r w:rsidRPr="00106B1E">
        <w:rPr>
          <w:rFonts w:ascii="Times New Roman" w:eastAsia="Times New Roman" w:hAnsi="Times New Roman" w:cs="Times New Roman"/>
          <w:sz w:val="24"/>
          <w:szCs w:val="24"/>
          <w:lang w:eastAsia="es-BO"/>
        </w:rPr>
        <w:t>Dispone la suscripción obligatoria, sin excepción alguna, de todas las entidades del sector público que conforman la estructura organizativa del Organo Ejecutivo, así como de entidades y empresas públicas que se encuentran bajo su dependencia o tuición, a la Gaceta Oficial de Bolivia, dependiente del Ministerio de la Presidencia, para la obtención física de Leyes, Decretos y Resoluciones Supremas.</w:t>
      </w:r>
    </w:p>
    <w:p w:rsidR="00106B1E" w:rsidRPr="00106B1E" w:rsidRDefault="00106B1E" w:rsidP="00106B1E">
      <w:pPr>
        <w:spacing w:after="0" w:line="240" w:lineRule="auto"/>
        <w:rPr>
          <w:rFonts w:ascii="Times New Roman" w:eastAsia="Times New Roman" w:hAnsi="Times New Roman" w:cs="Times New Roman"/>
          <w:sz w:val="24"/>
          <w:szCs w:val="24"/>
          <w:lang w:eastAsia="es-BO"/>
        </w:rPr>
      </w:pPr>
      <w:r w:rsidRPr="00106B1E">
        <w:rPr>
          <w:rFonts w:ascii="Times New Roman" w:eastAsia="Times New Roman" w:hAnsi="Times New Roman" w:cs="Times New Roman"/>
          <w:sz w:val="24"/>
          <w:szCs w:val="24"/>
          <w:lang w:eastAsia="es-BO"/>
        </w:rPr>
        <w:pict>
          <v:rect id="_x0000_i1027" style="width:0;height:1.5pt" o:hralign="center" o:hrstd="t" o:hr="t" fillcolor="#a0a0a0" stroked="f"/>
        </w:pict>
      </w:r>
    </w:p>
    <w:p w:rsidR="00632DB5" w:rsidRPr="00106B1E" w:rsidRDefault="00106B1E" w:rsidP="00106B1E">
      <w:r w:rsidRPr="00106B1E">
        <w:rPr>
          <w:rFonts w:ascii="Times New Roman" w:eastAsia="Times New Roman" w:hAnsi="Times New Roman" w:cs="Times New Roman"/>
          <w:b/>
          <w:bCs/>
          <w:sz w:val="13"/>
          <w:lang w:eastAsia="es-BO"/>
        </w:rPr>
        <w:t>TEXTO DE CONSULTA </w:t>
      </w:r>
      <w:r w:rsidRPr="00106B1E">
        <w:rPr>
          <w:rFonts w:ascii="Times New Roman" w:eastAsia="Times New Roman" w:hAnsi="Times New Roman" w:cs="Times New Roman"/>
          <w:sz w:val="24"/>
          <w:szCs w:val="24"/>
          <w:lang w:eastAsia="es-BO"/>
        </w:rPr>
        <w:br/>
        <w:t>Gaceta Oficial del Estado Plurinacional de Bolivia </w:t>
      </w:r>
      <w:r w:rsidRPr="00106B1E">
        <w:rPr>
          <w:rFonts w:ascii="Times New Roman" w:eastAsia="Times New Roman" w:hAnsi="Times New Roman" w:cs="Times New Roman"/>
          <w:sz w:val="24"/>
          <w:szCs w:val="24"/>
          <w:lang w:eastAsia="es-BO"/>
        </w:rPr>
        <w:br/>
        <w:t>Derechos Reservados © 2014 </w:t>
      </w:r>
      <w:r w:rsidRPr="00106B1E">
        <w:rPr>
          <w:rFonts w:ascii="Times New Roman" w:eastAsia="Times New Roman" w:hAnsi="Times New Roman" w:cs="Times New Roman"/>
          <w:sz w:val="24"/>
          <w:szCs w:val="24"/>
          <w:lang w:eastAsia="es-BO"/>
        </w:rPr>
        <w:br/>
      </w:r>
      <w:r w:rsidRPr="00106B1E">
        <w:rPr>
          <w:rFonts w:ascii="Times New Roman" w:eastAsia="Times New Roman" w:hAnsi="Times New Roman" w:cs="Times New Roman"/>
          <w:b/>
          <w:bCs/>
          <w:sz w:val="24"/>
          <w:szCs w:val="24"/>
          <w:lang w:eastAsia="es-BO"/>
        </w:rPr>
        <w:t>www.gacetaoficialdebolivia.gob.bo</w:t>
      </w:r>
    </w:p>
    <w:sectPr w:rsidR="00632DB5" w:rsidRPr="00106B1E" w:rsidSect="007018D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1D1" w:rsidRDefault="004721D1" w:rsidP="006A68A6">
      <w:pPr>
        <w:spacing w:after="0" w:line="240" w:lineRule="auto"/>
      </w:pPr>
      <w:r>
        <w:separator/>
      </w:r>
    </w:p>
  </w:endnote>
  <w:endnote w:type="continuationSeparator" w:id="1">
    <w:p w:rsidR="004721D1" w:rsidRDefault="004721D1" w:rsidP="006A6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1D1" w:rsidRDefault="004721D1" w:rsidP="006A68A6">
      <w:pPr>
        <w:spacing w:after="0" w:line="240" w:lineRule="auto"/>
      </w:pPr>
      <w:r>
        <w:separator/>
      </w:r>
    </w:p>
  </w:footnote>
  <w:footnote w:type="continuationSeparator" w:id="1">
    <w:p w:rsidR="004721D1" w:rsidRDefault="004721D1" w:rsidP="006A6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90AC4"/>
    <w:multiLevelType w:val="multilevel"/>
    <w:tmpl w:val="5A0A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502D"/>
    <w:rsid w:val="0001389A"/>
    <w:rsid w:val="00106B1E"/>
    <w:rsid w:val="00202494"/>
    <w:rsid w:val="00266F36"/>
    <w:rsid w:val="003F502D"/>
    <w:rsid w:val="00401720"/>
    <w:rsid w:val="0043727B"/>
    <w:rsid w:val="004721D1"/>
    <w:rsid w:val="00632DB5"/>
    <w:rsid w:val="006A68A6"/>
    <w:rsid w:val="007018D0"/>
    <w:rsid w:val="00A420CB"/>
    <w:rsid w:val="00B8082E"/>
    <w:rsid w:val="00C909F7"/>
    <w:rsid w:val="00CB6EB7"/>
    <w:rsid w:val="00EE364D"/>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8D0"/>
  </w:style>
  <w:style w:type="paragraph" w:styleId="Ttulo1">
    <w:name w:val="heading 1"/>
    <w:basedOn w:val="Normal"/>
    <w:link w:val="Ttulo1Car"/>
    <w:uiPriority w:val="9"/>
    <w:qFormat/>
    <w:rsid w:val="003F5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2">
    <w:name w:val="heading 2"/>
    <w:basedOn w:val="Normal"/>
    <w:next w:val="Normal"/>
    <w:link w:val="Ttulo2Car"/>
    <w:uiPriority w:val="9"/>
    <w:semiHidden/>
    <w:unhideWhenUsed/>
    <w:qFormat/>
    <w:rsid w:val="003F50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502D"/>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tulo1Car">
    <w:name w:val="Título 1 Car"/>
    <w:basedOn w:val="Fuentedeprrafopredeter"/>
    <w:link w:val="Ttulo1"/>
    <w:uiPriority w:val="9"/>
    <w:rsid w:val="003F502D"/>
    <w:rPr>
      <w:rFonts w:ascii="Times New Roman" w:eastAsia="Times New Roman" w:hAnsi="Times New Roman" w:cs="Times New Roman"/>
      <w:b/>
      <w:bCs/>
      <w:kern w:val="36"/>
      <w:sz w:val="48"/>
      <w:szCs w:val="48"/>
      <w:lang w:eastAsia="es-BO"/>
    </w:rPr>
  </w:style>
  <w:style w:type="character" w:styleId="Textoennegrita">
    <w:name w:val="Strong"/>
    <w:basedOn w:val="Fuentedeprrafopredeter"/>
    <w:uiPriority w:val="22"/>
    <w:qFormat/>
    <w:rsid w:val="003F502D"/>
    <w:rPr>
      <w:b/>
      <w:bCs/>
    </w:rPr>
  </w:style>
  <w:style w:type="character" w:customStyle="1" w:styleId="Ttulo2Car">
    <w:name w:val="Título 2 Car"/>
    <w:basedOn w:val="Fuentedeprrafopredeter"/>
    <w:link w:val="Ttulo2"/>
    <w:uiPriority w:val="9"/>
    <w:semiHidden/>
    <w:rsid w:val="003F502D"/>
    <w:rPr>
      <w:rFonts w:asciiTheme="majorHAnsi" w:eastAsiaTheme="majorEastAsia" w:hAnsiTheme="majorHAnsi" w:cstheme="majorBidi"/>
      <w:b/>
      <w:bCs/>
      <w:color w:val="4F81BD" w:themeColor="accent1"/>
      <w:sz w:val="26"/>
      <w:szCs w:val="26"/>
    </w:rPr>
  </w:style>
  <w:style w:type="character" w:customStyle="1" w:styleId="meta-origen">
    <w:name w:val="meta-origen"/>
    <w:basedOn w:val="Fuentedeprrafopredeter"/>
    <w:rsid w:val="003F502D"/>
  </w:style>
  <w:style w:type="character" w:customStyle="1" w:styleId="apple-converted-space">
    <w:name w:val="apple-converted-space"/>
    <w:basedOn w:val="Fuentedeprrafopredeter"/>
    <w:rsid w:val="003F502D"/>
  </w:style>
  <w:style w:type="character" w:customStyle="1" w:styleId="meta-author">
    <w:name w:val="meta-author"/>
    <w:basedOn w:val="Fuentedeprrafopredeter"/>
    <w:rsid w:val="003F502D"/>
  </w:style>
  <w:style w:type="character" w:customStyle="1" w:styleId="meta-timestamp">
    <w:name w:val="meta-timestamp"/>
    <w:basedOn w:val="Fuentedeprrafopredeter"/>
    <w:rsid w:val="003F502D"/>
  </w:style>
  <w:style w:type="character" w:customStyle="1" w:styleId="meta-datestamp">
    <w:name w:val="meta-datestamp"/>
    <w:basedOn w:val="Fuentedeprrafopredeter"/>
    <w:rsid w:val="003F502D"/>
  </w:style>
  <w:style w:type="paragraph" w:customStyle="1" w:styleId="mce">
    <w:name w:val="mce"/>
    <w:basedOn w:val="Normal"/>
    <w:rsid w:val="003F502D"/>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Sinespaciado">
    <w:name w:val="No Spacing"/>
    <w:uiPriority w:val="1"/>
    <w:qFormat/>
    <w:rsid w:val="003F502D"/>
    <w:pPr>
      <w:spacing w:after="0" w:line="240" w:lineRule="auto"/>
    </w:pPr>
  </w:style>
  <w:style w:type="paragraph" w:styleId="Encabezado">
    <w:name w:val="header"/>
    <w:basedOn w:val="Normal"/>
    <w:link w:val="EncabezadoCar"/>
    <w:uiPriority w:val="99"/>
    <w:semiHidden/>
    <w:unhideWhenUsed/>
    <w:rsid w:val="006A6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A68A6"/>
  </w:style>
  <w:style w:type="paragraph" w:styleId="Piedepgina">
    <w:name w:val="footer"/>
    <w:basedOn w:val="Normal"/>
    <w:link w:val="PiedepginaCar"/>
    <w:uiPriority w:val="99"/>
    <w:semiHidden/>
    <w:unhideWhenUsed/>
    <w:rsid w:val="006A6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A68A6"/>
  </w:style>
  <w:style w:type="paragraph" w:customStyle="1" w:styleId="apoyo">
    <w:name w:val="apoyo"/>
    <w:basedOn w:val="Normal"/>
    <w:rsid w:val="0020249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nota">
    <w:name w:val="nota"/>
    <w:basedOn w:val="Normal"/>
    <w:rsid w:val="00202494"/>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titulo">
    <w:name w:val="titulo"/>
    <w:basedOn w:val="Normal"/>
    <w:rsid w:val="00401720"/>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r="http://schemas.openxmlformats.org/officeDocument/2006/relationships" xmlns:w="http://schemas.openxmlformats.org/wordprocessingml/2006/main">
  <w:divs>
    <w:div w:id="174804104">
      <w:bodyDiv w:val="1"/>
      <w:marLeft w:val="0"/>
      <w:marRight w:val="0"/>
      <w:marTop w:val="0"/>
      <w:marBottom w:val="0"/>
      <w:divBdr>
        <w:top w:val="none" w:sz="0" w:space="0" w:color="auto"/>
        <w:left w:val="none" w:sz="0" w:space="0" w:color="auto"/>
        <w:bottom w:val="none" w:sz="0" w:space="0" w:color="auto"/>
        <w:right w:val="none" w:sz="0" w:space="0" w:color="auto"/>
      </w:divBdr>
    </w:div>
    <w:div w:id="188953320">
      <w:bodyDiv w:val="1"/>
      <w:marLeft w:val="0"/>
      <w:marRight w:val="0"/>
      <w:marTop w:val="0"/>
      <w:marBottom w:val="0"/>
      <w:divBdr>
        <w:top w:val="none" w:sz="0" w:space="0" w:color="auto"/>
        <w:left w:val="none" w:sz="0" w:space="0" w:color="auto"/>
        <w:bottom w:val="none" w:sz="0" w:space="0" w:color="auto"/>
        <w:right w:val="none" w:sz="0" w:space="0" w:color="auto"/>
      </w:divBdr>
    </w:div>
    <w:div w:id="419065489">
      <w:bodyDiv w:val="1"/>
      <w:marLeft w:val="0"/>
      <w:marRight w:val="0"/>
      <w:marTop w:val="0"/>
      <w:marBottom w:val="0"/>
      <w:divBdr>
        <w:top w:val="none" w:sz="0" w:space="0" w:color="auto"/>
        <w:left w:val="none" w:sz="0" w:space="0" w:color="auto"/>
        <w:bottom w:val="none" w:sz="0" w:space="0" w:color="auto"/>
        <w:right w:val="none" w:sz="0" w:space="0" w:color="auto"/>
      </w:divBdr>
    </w:div>
    <w:div w:id="482700665">
      <w:bodyDiv w:val="1"/>
      <w:marLeft w:val="0"/>
      <w:marRight w:val="0"/>
      <w:marTop w:val="0"/>
      <w:marBottom w:val="0"/>
      <w:divBdr>
        <w:top w:val="none" w:sz="0" w:space="0" w:color="auto"/>
        <w:left w:val="none" w:sz="0" w:space="0" w:color="auto"/>
        <w:bottom w:val="none" w:sz="0" w:space="0" w:color="auto"/>
        <w:right w:val="none" w:sz="0" w:space="0" w:color="auto"/>
      </w:divBdr>
    </w:div>
    <w:div w:id="499271934">
      <w:bodyDiv w:val="1"/>
      <w:marLeft w:val="0"/>
      <w:marRight w:val="0"/>
      <w:marTop w:val="0"/>
      <w:marBottom w:val="0"/>
      <w:divBdr>
        <w:top w:val="none" w:sz="0" w:space="0" w:color="auto"/>
        <w:left w:val="none" w:sz="0" w:space="0" w:color="auto"/>
        <w:bottom w:val="none" w:sz="0" w:space="0" w:color="auto"/>
        <w:right w:val="none" w:sz="0" w:space="0" w:color="auto"/>
      </w:divBdr>
      <w:divsChild>
        <w:div w:id="2104033901">
          <w:marLeft w:val="0"/>
          <w:marRight w:val="0"/>
          <w:marTop w:val="204"/>
          <w:marBottom w:val="204"/>
          <w:divBdr>
            <w:top w:val="none" w:sz="0" w:space="0" w:color="auto"/>
            <w:left w:val="none" w:sz="0" w:space="0" w:color="auto"/>
            <w:bottom w:val="none" w:sz="0" w:space="0" w:color="auto"/>
            <w:right w:val="none" w:sz="0" w:space="0" w:color="auto"/>
          </w:divBdr>
        </w:div>
        <w:div w:id="154490316">
          <w:marLeft w:val="0"/>
          <w:marRight w:val="0"/>
          <w:marTop w:val="0"/>
          <w:marBottom w:val="340"/>
          <w:divBdr>
            <w:top w:val="none" w:sz="0" w:space="0" w:color="auto"/>
            <w:left w:val="none" w:sz="0" w:space="0" w:color="auto"/>
            <w:bottom w:val="none" w:sz="0" w:space="0" w:color="auto"/>
            <w:right w:val="none" w:sz="0" w:space="0" w:color="auto"/>
          </w:divBdr>
        </w:div>
      </w:divsChild>
    </w:div>
    <w:div w:id="528568537">
      <w:bodyDiv w:val="1"/>
      <w:marLeft w:val="0"/>
      <w:marRight w:val="0"/>
      <w:marTop w:val="0"/>
      <w:marBottom w:val="0"/>
      <w:divBdr>
        <w:top w:val="none" w:sz="0" w:space="0" w:color="auto"/>
        <w:left w:val="none" w:sz="0" w:space="0" w:color="auto"/>
        <w:bottom w:val="none" w:sz="0" w:space="0" w:color="auto"/>
        <w:right w:val="none" w:sz="0" w:space="0" w:color="auto"/>
      </w:divBdr>
    </w:div>
    <w:div w:id="533150803">
      <w:bodyDiv w:val="1"/>
      <w:marLeft w:val="0"/>
      <w:marRight w:val="0"/>
      <w:marTop w:val="0"/>
      <w:marBottom w:val="0"/>
      <w:divBdr>
        <w:top w:val="none" w:sz="0" w:space="0" w:color="auto"/>
        <w:left w:val="none" w:sz="0" w:space="0" w:color="auto"/>
        <w:bottom w:val="none" w:sz="0" w:space="0" w:color="auto"/>
        <w:right w:val="none" w:sz="0" w:space="0" w:color="auto"/>
      </w:divBdr>
    </w:div>
    <w:div w:id="813987810">
      <w:bodyDiv w:val="1"/>
      <w:marLeft w:val="0"/>
      <w:marRight w:val="0"/>
      <w:marTop w:val="0"/>
      <w:marBottom w:val="0"/>
      <w:divBdr>
        <w:top w:val="none" w:sz="0" w:space="0" w:color="auto"/>
        <w:left w:val="none" w:sz="0" w:space="0" w:color="auto"/>
        <w:bottom w:val="none" w:sz="0" w:space="0" w:color="auto"/>
        <w:right w:val="none" w:sz="0" w:space="0" w:color="auto"/>
      </w:divBdr>
    </w:div>
    <w:div w:id="870343324">
      <w:bodyDiv w:val="1"/>
      <w:marLeft w:val="0"/>
      <w:marRight w:val="0"/>
      <w:marTop w:val="0"/>
      <w:marBottom w:val="0"/>
      <w:divBdr>
        <w:top w:val="none" w:sz="0" w:space="0" w:color="auto"/>
        <w:left w:val="none" w:sz="0" w:space="0" w:color="auto"/>
        <w:bottom w:val="none" w:sz="0" w:space="0" w:color="auto"/>
        <w:right w:val="none" w:sz="0" w:space="0" w:color="auto"/>
      </w:divBdr>
    </w:div>
    <w:div w:id="937060848">
      <w:bodyDiv w:val="1"/>
      <w:marLeft w:val="0"/>
      <w:marRight w:val="0"/>
      <w:marTop w:val="0"/>
      <w:marBottom w:val="0"/>
      <w:divBdr>
        <w:top w:val="none" w:sz="0" w:space="0" w:color="auto"/>
        <w:left w:val="none" w:sz="0" w:space="0" w:color="auto"/>
        <w:bottom w:val="none" w:sz="0" w:space="0" w:color="auto"/>
        <w:right w:val="none" w:sz="0" w:space="0" w:color="auto"/>
      </w:divBdr>
      <w:divsChild>
        <w:div w:id="1500392376">
          <w:marLeft w:val="0"/>
          <w:marRight w:val="0"/>
          <w:marTop w:val="0"/>
          <w:marBottom w:val="0"/>
          <w:divBdr>
            <w:top w:val="none" w:sz="0" w:space="0" w:color="auto"/>
            <w:left w:val="none" w:sz="0" w:space="0" w:color="auto"/>
            <w:bottom w:val="none" w:sz="0" w:space="0" w:color="auto"/>
            <w:right w:val="none" w:sz="0" w:space="0" w:color="auto"/>
          </w:divBdr>
        </w:div>
        <w:div w:id="1302542531">
          <w:marLeft w:val="0"/>
          <w:marRight w:val="0"/>
          <w:marTop w:val="0"/>
          <w:marBottom w:val="0"/>
          <w:divBdr>
            <w:top w:val="none" w:sz="0" w:space="0" w:color="auto"/>
            <w:left w:val="none" w:sz="0" w:space="0" w:color="auto"/>
            <w:bottom w:val="none" w:sz="0" w:space="0" w:color="auto"/>
            <w:right w:val="none" w:sz="0" w:space="0" w:color="auto"/>
          </w:divBdr>
        </w:div>
        <w:div w:id="1011100749">
          <w:marLeft w:val="0"/>
          <w:marRight w:val="0"/>
          <w:marTop w:val="0"/>
          <w:marBottom w:val="0"/>
          <w:divBdr>
            <w:top w:val="none" w:sz="0" w:space="0" w:color="auto"/>
            <w:left w:val="none" w:sz="0" w:space="0" w:color="auto"/>
            <w:bottom w:val="none" w:sz="0" w:space="0" w:color="auto"/>
            <w:right w:val="none" w:sz="0" w:space="0" w:color="auto"/>
          </w:divBdr>
        </w:div>
        <w:div w:id="757408821">
          <w:marLeft w:val="0"/>
          <w:marRight w:val="0"/>
          <w:marTop w:val="0"/>
          <w:marBottom w:val="0"/>
          <w:divBdr>
            <w:top w:val="none" w:sz="0" w:space="0" w:color="auto"/>
            <w:left w:val="none" w:sz="0" w:space="0" w:color="auto"/>
            <w:bottom w:val="none" w:sz="0" w:space="0" w:color="auto"/>
            <w:right w:val="none" w:sz="0" w:space="0" w:color="auto"/>
          </w:divBdr>
        </w:div>
        <w:div w:id="508252031">
          <w:marLeft w:val="0"/>
          <w:marRight w:val="0"/>
          <w:marTop w:val="0"/>
          <w:marBottom w:val="0"/>
          <w:divBdr>
            <w:top w:val="none" w:sz="0" w:space="0" w:color="auto"/>
            <w:left w:val="none" w:sz="0" w:space="0" w:color="auto"/>
            <w:bottom w:val="none" w:sz="0" w:space="0" w:color="auto"/>
            <w:right w:val="none" w:sz="0" w:space="0" w:color="auto"/>
          </w:divBdr>
        </w:div>
        <w:div w:id="1591809810">
          <w:marLeft w:val="0"/>
          <w:marRight w:val="0"/>
          <w:marTop w:val="0"/>
          <w:marBottom w:val="0"/>
          <w:divBdr>
            <w:top w:val="none" w:sz="0" w:space="0" w:color="auto"/>
            <w:left w:val="none" w:sz="0" w:space="0" w:color="auto"/>
            <w:bottom w:val="none" w:sz="0" w:space="0" w:color="auto"/>
            <w:right w:val="none" w:sz="0" w:space="0" w:color="auto"/>
          </w:divBdr>
        </w:div>
        <w:div w:id="784471344">
          <w:marLeft w:val="0"/>
          <w:marRight w:val="0"/>
          <w:marTop w:val="0"/>
          <w:marBottom w:val="0"/>
          <w:divBdr>
            <w:top w:val="none" w:sz="0" w:space="0" w:color="auto"/>
            <w:left w:val="none" w:sz="0" w:space="0" w:color="auto"/>
            <w:bottom w:val="none" w:sz="0" w:space="0" w:color="auto"/>
            <w:right w:val="none" w:sz="0" w:space="0" w:color="auto"/>
          </w:divBdr>
        </w:div>
        <w:div w:id="1857426614">
          <w:marLeft w:val="0"/>
          <w:marRight w:val="0"/>
          <w:marTop w:val="0"/>
          <w:marBottom w:val="0"/>
          <w:divBdr>
            <w:top w:val="none" w:sz="0" w:space="0" w:color="auto"/>
            <w:left w:val="none" w:sz="0" w:space="0" w:color="auto"/>
            <w:bottom w:val="none" w:sz="0" w:space="0" w:color="auto"/>
            <w:right w:val="none" w:sz="0" w:space="0" w:color="auto"/>
          </w:divBdr>
        </w:div>
        <w:div w:id="210046281">
          <w:marLeft w:val="0"/>
          <w:marRight w:val="0"/>
          <w:marTop w:val="0"/>
          <w:marBottom w:val="0"/>
          <w:divBdr>
            <w:top w:val="none" w:sz="0" w:space="0" w:color="auto"/>
            <w:left w:val="none" w:sz="0" w:space="0" w:color="auto"/>
            <w:bottom w:val="none" w:sz="0" w:space="0" w:color="auto"/>
            <w:right w:val="none" w:sz="0" w:space="0" w:color="auto"/>
          </w:divBdr>
        </w:div>
        <w:div w:id="730424585">
          <w:marLeft w:val="0"/>
          <w:marRight w:val="0"/>
          <w:marTop w:val="0"/>
          <w:marBottom w:val="0"/>
          <w:divBdr>
            <w:top w:val="none" w:sz="0" w:space="0" w:color="auto"/>
            <w:left w:val="none" w:sz="0" w:space="0" w:color="auto"/>
            <w:bottom w:val="none" w:sz="0" w:space="0" w:color="auto"/>
            <w:right w:val="none" w:sz="0" w:space="0" w:color="auto"/>
          </w:divBdr>
        </w:div>
        <w:div w:id="743533904">
          <w:marLeft w:val="0"/>
          <w:marRight w:val="0"/>
          <w:marTop w:val="0"/>
          <w:marBottom w:val="0"/>
          <w:divBdr>
            <w:top w:val="none" w:sz="0" w:space="0" w:color="auto"/>
            <w:left w:val="none" w:sz="0" w:space="0" w:color="auto"/>
            <w:bottom w:val="none" w:sz="0" w:space="0" w:color="auto"/>
            <w:right w:val="none" w:sz="0" w:space="0" w:color="auto"/>
          </w:divBdr>
        </w:div>
        <w:div w:id="867762761">
          <w:marLeft w:val="0"/>
          <w:marRight w:val="0"/>
          <w:marTop w:val="0"/>
          <w:marBottom w:val="0"/>
          <w:divBdr>
            <w:top w:val="none" w:sz="0" w:space="0" w:color="auto"/>
            <w:left w:val="none" w:sz="0" w:space="0" w:color="auto"/>
            <w:bottom w:val="none" w:sz="0" w:space="0" w:color="auto"/>
            <w:right w:val="none" w:sz="0" w:space="0" w:color="auto"/>
          </w:divBdr>
        </w:div>
      </w:divsChild>
    </w:div>
    <w:div w:id="997535042">
      <w:bodyDiv w:val="1"/>
      <w:marLeft w:val="0"/>
      <w:marRight w:val="0"/>
      <w:marTop w:val="0"/>
      <w:marBottom w:val="0"/>
      <w:divBdr>
        <w:top w:val="none" w:sz="0" w:space="0" w:color="auto"/>
        <w:left w:val="none" w:sz="0" w:space="0" w:color="auto"/>
        <w:bottom w:val="none" w:sz="0" w:space="0" w:color="auto"/>
        <w:right w:val="none" w:sz="0" w:space="0" w:color="auto"/>
      </w:divBdr>
      <w:divsChild>
        <w:div w:id="601112500">
          <w:marLeft w:val="0"/>
          <w:marRight w:val="0"/>
          <w:marTop w:val="133"/>
          <w:marBottom w:val="133"/>
          <w:divBdr>
            <w:top w:val="none" w:sz="0" w:space="0" w:color="auto"/>
            <w:left w:val="none" w:sz="0" w:space="0" w:color="auto"/>
            <w:bottom w:val="none" w:sz="0" w:space="0" w:color="auto"/>
            <w:right w:val="none" w:sz="0" w:space="0" w:color="auto"/>
          </w:divBdr>
        </w:div>
        <w:div w:id="2134594347">
          <w:marLeft w:val="0"/>
          <w:marRight w:val="0"/>
          <w:marTop w:val="0"/>
          <w:marBottom w:val="221"/>
          <w:divBdr>
            <w:top w:val="none" w:sz="0" w:space="0" w:color="auto"/>
            <w:left w:val="none" w:sz="0" w:space="0" w:color="auto"/>
            <w:bottom w:val="none" w:sz="0" w:space="0" w:color="auto"/>
            <w:right w:val="none" w:sz="0" w:space="0" w:color="auto"/>
          </w:divBdr>
        </w:div>
      </w:divsChild>
    </w:div>
    <w:div w:id="1162433399">
      <w:bodyDiv w:val="1"/>
      <w:marLeft w:val="0"/>
      <w:marRight w:val="0"/>
      <w:marTop w:val="0"/>
      <w:marBottom w:val="0"/>
      <w:divBdr>
        <w:top w:val="none" w:sz="0" w:space="0" w:color="auto"/>
        <w:left w:val="none" w:sz="0" w:space="0" w:color="auto"/>
        <w:bottom w:val="none" w:sz="0" w:space="0" w:color="auto"/>
        <w:right w:val="none" w:sz="0" w:space="0" w:color="auto"/>
      </w:divBdr>
    </w:div>
    <w:div w:id="1454053691">
      <w:bodyDiv w:val="1"/>
      <w:marLeft w:val="0"/>
      <w:marRight w:val="0"/>
      <w:marTop w:val="0"/>
      <w:marBottom w:val="0"/>
      <w:divBdr>
        <w:top w:val="none" w:sz="0" w:space="0" w:color="auto"/>
        <w:left w:val="none" w:sz="0" w:space="0" w:color="auto"/>
        <w:bottom w:val="none" w:sz="0" w:space="0" w:color="auto"/>
        <w:right w:val="none" w:sz="0" w:space="0" w:color="auto"/>
      </w:divBdr>
    </w:div>
    <w:div w:id="1579904863">
      <w:bodyDiv w:val="1"/>
      <w:marLeft w:val="0"/>
      <w:marRight w:val="0"/>
      <w:marTop w:val="0"/>
      <w:marBottom w:val="0"/>
      <w:divBdr>
        <w:top w:val="none" w:sz="0" w:space="0" w:color="auto"/>
        <w:left w:val="none" w:sz="0" w:space="0" w:color="auto"/>
        <w:bottom w:val="none" w:sz="0" w:space="0" w:color="auto"/>
        <w:right w:val="none" w:sz="0" w:space="0" w:color="auto"/>
      </w:divBdr>
    </w:div>
    <w:div w:id="1690795636">
      <w:bodyDiv w:val="1"/>
      <w:marLeft w:val="0"/>
      <w:marRight w:val="0"/>
      <w:marTop w:val="0"/>
      <w:marBottom w:val="0"/>
      <w:divBdr>
        <w:top w:val="none" w:sz="0" w:space="0" w:color="auto"/>
        <w:left w:val="none" w:sz="0" w:space="0" w:color="auto"/>
        <w:bottom w:val="none" w:sz="0" w:space="0" w:color="auto"/>
        <w:right w:val="none" w:sz="0" w:space="0" w:color="auto"/>
      </w:divBdr>
    </w:div>
    <w:div w:id="1980113957">
      <w:bodyDiv w:val="1"/>
      <w:marLeft w:val="0"/>
      <w:marRight w:val="0"/>
      <w:marTop w:val="0"/>
      <w:marBottom w:val="0"/>
      <w:divBdr>
        <w:top w:val="none" w:sz="0" w:space="0" w:color="auto"/>
        <w:left w:val="none" w:sz="0" w:space="0" w:color="auto"/>
        <w:bottom w:val="none" w:sz="0" w:space="0" w:color="auto"/>
        <w:right w:val="none" w:sz="0" w:space="0" w:color="auto"/>
      </w:divBdr>
    </w:div>
    <w:div w:id="20288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joponce</dc:creator>
  <cp:lastModifiedBy>joponce</cp:lastModifiedBy>
  <cp:revision>1</cp:revision>
  <dcterms:created xsi:type="dcterms:W3CDTF">2015-02-18T12:19:00Z</dcterms:created>
  <dcterms:modified xsi:type="dcterms:W3CDTF">2015-02-18T20:33:00Z</dcterms:modified>
</cp:coreProperties>
</file>